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581B" w14:textId="2076352A" w:rsidR="00476AE7" w:rsidRPr="00B43B6A" w:rsidRDefault="004D07F7" w:rsidP="004D07F7">
      <w:pPr>
        <w:bidi/>
        <w:jc w:val="center"/>
        <w:rPr>
          <w:color w:val="92D050"/>
          <w:sz w:val="96"/>
          <w:szCs w:val="96"/>
          <w:rtl/>
        </w:rPr>
      </w:pPr>
      <w:r w:rsidRPr="004D07F7">
        <w:rPr>
          <w:color w:val="92D050"/>
          <w:sz w:val="96"/>
          <w:szCs w:val="96"/>
          <w:rtl/>
        </w:rPr>
        <w:t>دراسة جدوى مشروع مصنع لإنتاج منتجات الطاقة المتجددة</w:t>
      </w:r>
    </w:p>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lastRenderedPageBreak/>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4D07F7"/>
    <w:rsid w:val="005D5B24"/>
    <w:rsid w:val="006416F3"/>
    <w:rsid w:val="007B1454"/>
    <w:rsid w:val="00B43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10</cp:revision>
  <dcterms:created xsi:type="dcterms:W3CDTF">2022-03-26T00:27:00Z</dcterms:created>
  <dcterms:modified xsi:type="dcterms:W3CDTF">2024-02-14T21:51:00Z</dcterms:modified>
</cp:coreProperties>
</file>